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D499" w14:textId="77777777" w:rsidR="00CE1141" w:rsidRDefault="00CE1141" w:rsidP="00761A71">
      <w:pPr>
        <w:rPr>
          <w:rFonts w:ascii="Arial" w:hAnsi="Arial" w:cs="Arial"/>
          <w:lang w:val="nl-NL"/>
        </w:rPr>
      </w:pPr>
    </w:p>
    <w:p w14:paraId="3E8CAF40" w14:textId="780F1226" w:rsidR="00F11FC7" w:rsidRPr="004B139E" w:rsidRDefault="00F11FC7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De directie van 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Swart Installatietechniek </w:t>
      </w:r>
      <w:r w:rsidR="00024E5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bv zal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bij het voorbereiden en uitvoeren van het</w:t>
      </w:r>
    </w:p>
    <w:p w14:paraId="362BF089" w14:textId="7224D2FA" w:rsidR="00B37E14" w:rsidRPr="004B139E" w:rsidRDefault="00024E54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Algemeen</w:t>
      </w:r>
      <w:r w:rsidR="00F11FC7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ondernemingsbeleid, het beleid mede richten op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het creëren van </w:t>
      </w:r>
      <w:r w:rsidR="00F11FC7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een zo 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veilig mogelijke werkomgeving, een </w:t>
      </w:r>
      <w:r w:rsidR="00F11FC7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zo goed mogelijke bescherming van de gezondheid, het bevorderen van het welzijn en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het voorkomen</w:t>
      </w:r>
      <w:r w:rsidR="00F11FC7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van ziekteverzuim in verband met de arbeid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voor zowel de eigen medewerkers als voor derden</w:t>
      </w:r>
      <w:r w:rsidR="00F11FC7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. </w:t>
      </w:r>
      <w:r w:rsidR="000D399D" w:rsidRPr="00531E7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Wanneer door een ongeval medewerkers hun functie (tijdelijk) niet meer kunnen uitoefenen, wordt -waar mogelijk- aangepast werk aangeboden.</w:t>
      </w:r>
      <w:r w:rsidR="000D399D" w:rsidRPr="000D399D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</w:p>
    <w:p w14:paraId="4EB779C8" w14:textId="77777777" w:rsidR="00B37E14" w:rsidRPr="004B139E" w:rsidRDefault="00B37E14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6FC7C877" w14:textId="3DF9A5F0" w:rsidR="00B37E14" w:rsidRPr="004B139E" w:rsidRDefault="00F11FC7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Tevens 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is het beleid er mede gericht op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een zo goed mogel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ijke bescherming van het </w:t>
      </w:r>
      <w:r w:rsidR="00024E5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milieu, de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omgeving en de mensen en middelen die zich daarin bevinden. </w:t>
      </w:r>
      <w:r w:rsidR="00F61A88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Gebruik van alternatieve brandstoffen en bevorderen van toepassen van groene stroom zijn daarbij van belang.</w:t>
      </w:r>
    </w:p>
    <w:p w14:paraId="5E628320" w14:textId="77777777" w:rsidR="00B37E14" w:rsidRPr="004B139E" w:rsidRDefault="00B37E14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044D533F" w14:textId="77777777" w:rsidR="00B37E14" w:rsidRPr="004B139E" w:rsidRDefault="00B37E14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Een derde peiler binnen het beleid is de aandacht voor het realiseren van een zo goed mogelijk “product” dat aansluit bij de wensen en eisen van onze klanten.</w:t>
      </w:r>
    </w:p>
    <w:p w14:paraId="257F4B97" w14:textId="77777777" w:rsidR="00F11FC7" w:rsidRPr="004B139E" w:rsidRDefault="00B37E14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</w:p>
    <w:p w14:paraId="1F83A012" w14:textId="77777777" w:rsidR="00B37E14" w:rsidRPr="004B139E" w:rsidRDefault="00F11FC7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Het beleid </w:t>
      </w:r>
      <w:r w:rsidR="000B2B7B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van Swart Installatietechniek bv richt zich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op het bevorderen en handhaven van een zodanige werkwijze en gedrag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dat persoonlijk letsel en/of schade aan de gezondheid aan medewerkers en derden, alsmede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materiële schade en milieubelasting (lucht-, water- en bodemverontreiniging, geluid en andere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="003A6208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hinder) worden voorkomen.</w:t>
      </w:r>
    </w:p>
    <w:p w14:paraId="17A09F91" w14:textId="77777777" w:rsidR="003A6208" w:rsidRPr="004B139E" w:rsidRDefault="003A6208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08164D07" w14:textId="77777777" w:rsidR="00F11FC7" w:rsidRPr="004B139E" w:rsidRDefault="00F11FC7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Uitgangspunt van het beleid is tenminste te voldoen aan de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vigerende wetgeving op het gebied van arbeidsomstandigheden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, milieu en productconformiteit.</w:t>
      </w:r>
    </w:p>
    <w:p w14:paraId="5A95C6BB" w14:textId="77777777" w:rsidR="00B37E14" w:rsidRPr="004B139E" w:rsidRDefault="00B37E14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3EF5CED2" w14:textId="77777777" w:rsidR="00F11FC7" w:rsidRPr="004B139E" w:rsidRDefault="00F11FC7" w:rsidP="00B37E1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Door 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Swart Installatietechniek bv</w:t>
      </w:r>
      <w:r w:rsidR="003A6208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zal gestreefd worden naar een continue verbetering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van de kwaliteit van onze diensten en processen, de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arbeidsomstandigheden en het terugdringen 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en voorkomen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van 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mogelijke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schade aan het milieu. </w:t>
      </w:r>
    </w:p>
    <w:p w14:paraId="770C34CA" w14:textId="77777777" w:rsidR="00B37E14" w:rsidRPr="004B139E" w:rsidRDefault="00B37E14" w:rsidP="00B37E1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2A5215CE" w14:textId="77777777" w:rsidR="00F11FC7" w:rsidRPr="004B139E" w:rsidRDefault="00F11FC7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Van iedere medewerker(ster) wordt in het kader van zijn functie, rechten, verantwoordelijkheden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en algemeen geaccepteerde gebruiken, verwacht dat hij/zij zijn/haar activiteiten volgens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de interne regels uitvoert en dat hij/zij een actieve bijdrage levert aan de uitvoering van het</w:t>
      </w:r>
      <w:r w:rsidR="00B37E14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</w:t>
      </w:r>
      <w:r w:rsidR="003A6208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beleid van de onderneming.</w:t>
      </w:r>
    </w:p>
    <w:p w14:paraId="2A1B5362" w14:textId="77777777" w:rsidR="00B37E14" w:rsidRPr="004B139E" w:rsidRDefault="00B37E14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755A9E61" w14:textId="77777777" w:rsidR="005E7CA9" w:rsidRPr="004B139E" w:rsidRDefault="005E7CA9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nl-NL" w:eastAsia="en-US"/>
        </w:rPr>
      </w:pPr>
    </w:p>
    <w:p w14:paraId="6D7EF3E9" w14:textId="600D5C71" w:rsidR="005872ED" w:rsidRDefault="00315D23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Amsterdam, </w:t>
      </w:r>
      <w:r w:rsidR="00812B3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0</w:t>
      </w:r>
      <w:r w:rsidR="0034781C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5</w:t>
      </w:r>
      <w:r w:rsidR="00812B3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 JANUARI 202</w:t>
      </w:r>
      <w:r w:rsidR="0034781C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6</w:t>
      </w:r>
    </w:p>
    <w:p w14:paraId="7FFDC615" w14:textId="77777777" w:rsidR="003E6159" w:rsidRPr="004B139E" w:rsidRDefault="003E6159" w:rsidP="00F11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14B99D5F" w14:textId="67EE3006" w:rsidR="0099418C" w:rsidRDefault="00CA1D43" w:rsidP="00F11FC7">
      <w:pPr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N</w:t>
      </w:r>
      <w:r w:rsidR="0099418C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.W.M. </w:t>
      </w:r>
      <w:r w:rsidR="000B2B7B"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Röling</w:t>
      </w:r>
    </w:p>
    <w:p w14:paraId="2FD70594" w14:textId="77777777" w:rsidR="001763A5" w:rsidRPr="004B139E" w:rsidRDefault="000B2B7B" w:rsidP="00F11FC7">
      <w:pPr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>directeur</w:t>
      </w:r>
    </w:p>
    <w:p w14:paraId="66FDBDDA" w14:textId="77777777" w:rsidR="00A60CD9" w:rsidRPr="004B139E" w:rsidRDefault="00A60CD9" w:rsidP="00F11FC7">
      <w:pPr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024C2B97" w14:textId="77777777" w:rsidR="00A60CD9" w:rsidRPr="004B139E" w:rsidRDefault="00A60CD9" w:rsidP="00F11FC7">
      <w:pPr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3F30E2C6" w14:textId="77777777" w:rsidR="00A60CD9" w:rsidRPr="004B139E" w:rsidRDefault="00A60CD9" w:rsidP="00F11FC7">
      <w:pPr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</w:p>
    <w:p w14:paraId="51789222" w14:textId="77777777" w:rsidR="00A60CD9" w:rsidRPr="004B139E" w:rsidRDefault="00A60CD9" w:rsidP="00A60CD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</w:pPr>
      <w:r w:rsidRPr="004B139E">
        <w:rPr>
          <w:rFonts w:ascii="Arial" w:eastAsiaTheme="minorHAnsi" w:hAnsi="Arial" w:cs="Arial"/>
          <w:color w:val="000000"/>
          <w:sz w:val="22"/>
          <w:szCs w:val="22"/>
          <w:lang w:val="nl-NL" w:eastAsia="en-US"/>
        </w:rPr>
        <w:t xml:space="preserve">Deze beleidsverklaring is openbaar en ligt ter inzage voor alle werknemers bij de directie. </w:t>
      </w:r>
    </w:p>
    <w:p w14:paraId="198B08C8" w14:textId="77777777" w:rsidR="00A60CD9" w:rsidRPr="004B139E" w:rsidRDefault="00A60CD9" w:rsidP="00F11FC7">
      <w:pPr>
        <w:rPr>
          <w:rFonts w:ascii="Arial" w:hAnsi="Arial" w:cs="Arial"/>
          <w:sz w:val="22"/>
          <w:szCs w:val="22"/>
          <w:lang w:val="nl-NL"/>
        </w:rPr>
      </w:pPr>
    </w:p>
    <w:sectPr w:rsidR="00A60CD9" w:rsidRPr="004B139E" w:rsidSect="00FA18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B75F" w14:textId="77777777" w:rsidR="005F7EE1" w:rsidRDefault="005F7EE1" w:rsidP="00761A71">
      <w:r>
        <w:separator/>
      </w:r>
    </w:p>
  </w:endnote>
  <w:endnote w:type="continuationSeparator" w:id="0">
    <w:p w14:paraId="2B7A97EF" w14:textId="77777777" w:rsidR="005F7EE1" w:rsidRDefault="005F7EE1" w:rsidP="0076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50C1" w14:textId="77777777" w:rsidR="00761A71" w:rsidRPr="00F75D10" w:rsidRDefault="00597940" w:rsidP="009E3041">
    <w:pPr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DLS0007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sdt>
      <w:sdtPr>
        <w:rPr>
          <w:rFonts w:ascii="Verdana" w:hAnsi="Verdana"/>
          <w:sz w:val="20"/>
          <w:szCs w:val="20"/>
          <w:lang w:val="nl-NL"/>
        </w:rPr>
        <w:id w:val="250395305"/>
        <w:docPartObj>
          <w:docPartGallery w:val="Page Numbers (Top of Page)"/>
          <w:docPartUnique/>
        </w:docPartObj>
      </w:sdtPr>
      <w:sdtEndPr/>
      <w:sdtContent>
        <w:r w:rsidR="009E3041" w:rsidRPr="00F75D10">
          <w:rPr>
            <w:rFonts w:ascii="Verdana" w:hAnsi="Verdana"/>
            <w:sz w:val="20"/>
            <w:szCs w:val="20"/>
            <w:lang w:val="nl-NL"/>
          </w:rPr>
          <w:t xml:space="preserve">Pagina </w:t>
        </w:r>
        <w:r w:rsidR="00A84C88" w:rsidRPr="00F75D10">
          <w:rPr>
            <w:rFonts w:ascii="Verdana" w:hAnsi="Verdana"/>
            <w:sz w:val="20"/>
            <w:szCs w:val="20"/>
            <w:lang w:val="nl-NL"/>
          </w:rPr>
          <w:fldChar w:fldCharType="begin"/>
        </w:r>
        <w:r w:rsidR="009E3041" w:rsidRPr="00F75D10">
          <w:rPr>
            <w:rFonts w:ascii="Verdana" w:hAnsi="Verdana"/>
            <w:sz w:val="20"/>
            <w:szCs w:val="20"/>
            <w:lang w:val="nl-NL"/>
          </w:rPr>
          <w:instrText xml:space="preserve"> PAGE </w:instrText>
        </w:r>
        <w:r w:rsidR="00A84C88" w:rsidRPr="00F75D10">
          <w:rPr>
            <w:rFonts w:ascii="Verdana" w:hAnsi="Verdana"/>
            <w:sz w:val="20"/>
            <w:szCs w:val="20"/>
            <w:lang w:val="nl-NL"/>
          </w:rPr>
          <w:fldChar w:fldCharType="separate"/>
        </w:r>
        <w:r w:rsidR="00315D23">
          <w:rPr>
            <w:rFonts w:ascii="Verdana" w:hAnsi="Verdana"/>
            <w:noProof/>
            <w:sz w:val="20"/>
            <w:szCs w:val="20"/>
            <w:lang w:val="nl-NL"/>
          </w:rPr>
          <w:t>1</w:t>
        </w:r>
        <w:r w:rsidR="00A84C88" w:rsidRPr="00F75D10">
          <w:rPr>
            <w:rFonts w:ascii="Verdana" w:hAnsi="Verdana"/>
            <w:sz w:val="20"/>
            <w:szCs w:val="20"/>
            <w:lang w:val="nl-NL"/>
          </w:rPr>
          <w:fldChar w:fldCharType="end"/>
        </w:r>
        <w:r w:rsidR="009E3041" w:rsidRPr="00F75D10">
          <w:rPr>
            <w:rFonts w:ascii="Verdana" w:hAnsi="Verdana"/>
            <w:sz w:val="20"/>
            <w:szCs w:val="20"/>
            <w:lang w:val="nl-NL"/>
          </w:rPr>
          <w:t xml:space="preserve"> van </w:t>
        </w:r>
        <w:r w:rsidR="00A84C88" w:rsidRPr="00F75D10">
          <w:rPr>
            <w:rFonts w:ascii="Verdana" w:hAnsi="Verdana"/>
            <w:sz w:val="20"/>
            <w:szCs w:val="20"/>
            <w:lang w:val="nl-NL"/>
          </w:rPr>
          <w:fldChar w:fldCharType="begin"/>
        </w:r>
        <w:r w:rsidR="009E3041" w:rsidRPr="00F75D10">
          <w:rPr>
            <w:rFonts w:ascii="Verdana" w:hAnsi="Verdana"/>
            <w:sz w:val="20"/>
            <w:szCs w:val="20"/>
            <w:lang w:val="nl-NL"/>
          </w:rPr>
          <w:instrText xml:space="preserve"> NUMPAGES  </w:instrText>
        </w:r>
        <w:r w:rsidR="00A84C88" w:rsidRPr="00F75D10">
          <w:rPr>
            <w:rFonts w:ascii="Verdana" w:hAnsi="Verdana"/>
            <w:sz w:val="20"/>
            <w:szCs w:val="20"/>
            <w:lang w:val="nl-NL"/>
          </w:rPr>
          <w:fldChar w:fldCharType="separate"/>
        </w:r>
        <w:r w:rsidR="00315D23">
          <w:rPr>
            <w:rFonts w:ascii="Verdana" w:hAnsi="Verdana"/>
            <w:noProof/>
            <w:sz w:val="20"/>
            <w:szCs w:val="20"/>
            <w:lang w:val="nl-NL"/>
          </w:rPr>
          <w:t>1</w:t>
        </w:r>
        <w:r w:rsidR="00A84C88" w:rsidRPr="00F75D10">
          <w:rPr>
            <w:rFonts w:ascii="Verdana" w:hAnsi="Verdana"/>
            <w:sz w:val="20"/>
            <w:szCs w:val="20"/>
            <w:lang w:val="nl-N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D349" w14:textId="77777777" w:rsidR="005F7EE1" w:rsidRDefault="005F7EE1" w:rsidP="00761A71">
      <w:r>
        <w:separator/>
      </w:r>
    </w:p>
  </w:footnote>
  <w:footnote w:type="continuationSeparator" w:id="0">
    <w:p w14:paraId="1D9E392B" w14:textId="77777777" w:rsidR="005F7EE1" w:rsidRDefault="005F7EE1" w:rsidP="0076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CellMar>
        <w:top w:w="68" w:type="dxa"/>
        <w:bottom w:w="68" w:type="dxa"/>
      </w:tblCellMar>
      <w:tblLook w:val="04A0" w:firstRow="1" w:lastRow="0" w:firstColumn="1" w:lastColumn="0" w:noHBand="0" w:noVBand="1"/>
    </w:tblPr>
    <w:tblGrid>
      <w:gridCol w:w="1736"/>
      <w:gridCol w:w="2910"/>
      <w:gridCol w:w="4416"/>
    </w:tblGrid>
    <w:tr w:rsidR="009E3041" w:rsidRPr="0002332E" w14:paraId="3DB8E41E" w14:textId="77777777" w:rsidTr="007926A9">
      <w:tc>
        <w:tcPr>
          <w:tcW w:w="6141" w:type="dxa"/>
          <w:gridSpan w:val="2"/>
        </w:tcPr>
        <w:p w14:paraId="0DB3AAA4" w14:textId="77777777" w:rsidR="009E3041" w:rsidRPr="0002332E" w:rsidRDefault="009E3041" w:rsidP="00C15DC2">
          <w:pPr>
            <w:pStyle w:val="Koptekst"/>
            <w:rPr>
              <w:rFonts w:ascii="Arial" w:hAnsi="Arial" w:cs="Arial"/>
              <w:b/>
              <w:color w:val="800000"/>
            </w:rPr>
          </w:pPr>
          <w:proofErr w:type="spellStart"/>
          <w:r w:rsidRPr="0002332E">
            <w:rPr>
              <w:rFonts w:ascii="Arial" w:hAnsi="Arial" w:cs="Arial"/>
              <w:b/>
              <w:color w:val="800000"/>
            </w:rPr>
            <w:t>Bedrijfsmanagementsysteem</w:t>
          </w:r>
          <w:proofErr w:type="spellEnd"/>
        </w:p>
      </w:tc>
      <w:tc>
        <w:tcPr>
          <w:tcW w:w="3096" w:type="dxa"/>
          <w:vMerge w:val="restart"/>
        </w:tcPr>
        <w:p w14:paraId="40A60FCC" w14:textId="2BD61525" w:rsidR="009E3041" w:rsidRPr="0002332E" w:rsidRDefault="0034781C" w:rsidP="00C15DC2">
          <w:pPr>
            <w:pStyle w:val="Kopteks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EF5E7DC" wp14:editId="5E7E89A5">
                <wp:extent cx="2663952" cy="972312"/>
                <wp:effectExtent l="0" t="0" r="3175" b="0"/>
                <wp:docPr id="1" name="Afbeelding 1" descr="Afbeelding met tekst, Lettertype, Graphics, logo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Graphics, logo&#10;&#10;Automatisch gegenereerde beschrijv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3952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E3041" w:rsidRPr="0002332E" w14:paraId="4F35E449" w14:textId="77777777" w:rsidTr="007926A9">
      <w:tc>
        <w:tcPr>
          <w:tcW w:w="1951" w:type="dxa"/>
        </w:tcPr>
        <w:p w14:paraId="79143906" w14:textId="63EF7592" w:rsidR="009E3041" w:rsidRPr="0002332E" w:rsidRDefault="006B2268" w:rsidP="00A11197">
          <w:pPr>
            <w:pStyle w:val="Koptekst"/>
            <w:rPr>
              <w:rFonts w:ascii="Arial" w:hAnsi="Arial" w:cs="Arial"/>
            </w:rPr>
          </w:pPr>
          <w:r w:rsidRPr="0002332E">
            <w:rPr>
              <w:rFonts w:ascii="Arial" w:hAnsi="Arial" w:cs="Arial"/>
            </w:rPr>
            <w:t xml:space="preserve">DOC </w:t>
          </w:r>
          <w:r w:rsidR="009E3041" w:rsidRPr="0002332E">
            <w:rPr>
              <w:rFonts w:ascii="Arial" w:hAnsi="Arial" w:cs="Arial"/>
            </w:rPr>
            <w:t>02.0</w:t>
          </w:r>
          <w:r w:rsidR="001D12E2">
            <w:rPr>
              <w:rFonts w:ascii="Arial" w:hAnsi="Arial" w:cs="Arial"/>
            </w:rPr>
            <w:t>5</w:t>
          </w:r>
        </w:p>
      </w:tc>
      <w:tc>
        <w:tcPr>
          <w:tcW w:w="4190" w:type="dxa"/>
        </w:tcPr>
        <w:p w14:paraId="17DC8B20" w14:textId="77777777" w:rsidR="009E3041" w:rsidRPr="0002332E" w:rsidRDefault="000200C8" w:rsidP="00C15DC2">
          <w:pPr>
            <w:pStyle w:val="Koptekst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Beleidsverklaring</w:t>
          </w:r>
          <w:proofErr w:type="spellEnd"/>
        </w:p>
      </w:tc>
      <w:tc>
        <w:tcPr>
          <w:tcW w:w="3096" w:type="dxa"/>
          <w:vMerge/>
        </w:tcPr>
        <w:p w14:paraId="02D20C7E" w14:textId="77777777" w:rsidR="009E3041" w:rsidRPr="0002332E" w:rsidRDefault="009E3041" w:rsidP="00C15DC2">
          <w:pPr>
            <w:pStyle w:val="Koptekst"/>
            <w:rPr>
              <w:rFonts w:ascii="Arial" w:hAnsi="Arial" w:cs="Arial"/>
            </w:rPr>
          </w:pPr>
        </w:p>
      </w:tc>
    </w:tr>
    <w:tr w:rsidR="009E3041" w:rsidRPr="0002332E" w14:paraId="5838030E" w14:textId="77777777" w:rsidTr="000D399D">
      <w:trPr>
        <w:trHeight w:val="364"/>
      </w:trPr>
      <w:tc>
        <w:tcPr>
          <w:tcW w:w="1951" w:type="dxa"/>
        </w:tcPr>
        <w:p w14:paraId="1375C00C" w14:textId="0208F438" w:rsidR="009E3041" w:rsidRPr="0002332E" w:rsidRDefault="008C7D10" w:rsidP="000D399D">
          <w:pPr>
            <w:pStyle w:val="Koptekst"/>
            <w:rPr>
              <w:rFonts w:ascii="Arial" w:hAnsi="Arial" w:cs="Arial"/>
            </w:rPr>
          </w:pPr>
          <w:proofErr w:type="spellStart"/>
          <w:r w:rsidRPr="0002332E">
            <w:rPr>
              <w:rFonts w:ascii="Arial" w:hAnsi="Arial" w:cs="Arial"/>
            </w:rPr>
            <w:t>Datum</w:t>
          </w:r>
          <w:r w:rsidR="009E3041" w:rsidRPr="0002332E">
            <w:rPr>
              <w:rFonts w:ascii="Arial" w:hAnsi="Arial" w:cs="Arial"/>
            </w:rPr>
            <w:t>versie</w:t>
          </w:r>
          <w:proofErr w:type="spellEnd"/>
        </w:p>
      </w:tc>
      <w:tc>
        <w:tcPr>
          <w:tcW w:w="4190" w:type="dxa"/>
        </w:tcPr>
        <w:p w14:paraId="0B2E758C" w14:textId="02C9F717" w:rsidR="00463AC8" w:rsidRPr="0002332E" w:rsidRDefault="00315D23" w:rsidP="000D399D">
          <w:pPr>
            <w:pStyle w:val="Kopteks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750D67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>-0</w:t>
          </w:r>
          <w:r w:rsidR="00024E54"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t>-</w:t>
          </w:r>
          <w:r w:rsidR="00E817D7">
            <w:rPr>
              <w:rFonts w:ascii="Arial" w:hAnsi="Arial" w:cs="Arial"/>
            </w:rPr>
            <w:t>20</w:t>
          </w:r>
          <w:r w:rsidR="001D12E2">
            <w:rPr>
              <w:rFonts w:ascii="Arial" w:hAnsi="Arial" w:cs="Arial"/>
            </w:rPr>
            <w:t>2</w:t>
          </w:r>
          <w:r w:rsidR="0034781C">
            <w:rPr>
              <w:rFonts w:ascii="Arial" w:hAnsi="Arial" w:cs="Arial"/>
            </w:rPr>
            <w:t>6</w:t>
          </w:r>
        </w:p>
      </w:tc>
      <w:tc>
        <w:tcPr>
          <w:tcW w:w="3096" w:type="dxa"/>
          <w:vMerge/>
        </w:tcPr>
        <w:p w14:paraId="106044B1" w14:textId="77777777" w:rsidR="009E3041" w:rsidRPr="0002332E" w:rsidRDefault="009E3041" w:rsidP="00C15DC2">
          <w:pPr>
            <w:pStyle w:val="Koptekst"/>
            <w:rPr>
              <w:rFonts w:ascii="Arial" w:hAnsi="Arial" w:cs="Arial"/>
            </w:rPr>
          </w:pPr>
        </w:p>
      </w:tc>
    </w:tr>
    <w:tr w:rsidR="009E3041" w:rsidRPr="0002332E" w14:paraId="457A4BD4" w14:textId="77777777" w:rsidTr="007926A9">
      <w:tc>
        <w:tcPr>
          <w:tcW w:w="1951" w:type="dxa"/>
        </w:tcPr>
        <w:p w14:paraId="77DA183C" w14:textId="77777777" w:rsidR="009E3041" w:rsidRPr="0002332E" w:rsidRDefault="009E3041" w:rsidP="00C15DC2">
          <w:pPr>
            <w:pStyle w:val="Koptekst"/>
            <w:rPr>
              <w:rFonts w:ascii="Arial" w:hAnsi="Arial" w:cs="Arial"/>
            </w:rPr>
          </w:pPr>
          <w:proofErr w:type="spellStart"/>
          <w:r w:rsidRPr="0002332E">
            <w:rPr>
              <w:rFonts w:ascii="Arial" w:hAnsi="Arial" w:cs="Arial"/>
            </w:rPr>
            <w:t>Eigenaar</w:t>
          </w:r>
          <w:proofErr w:type="spellEnd"/>
        </w:p>
      </w:tc>
      <w:tc>
        <w:tcPr>
          <w:tcW w:w="4190" w:type="dxa"/>
        </w:tcPr>
        <w:p w14:paraId="04E0A212" w14:textId="77777777" w:rsidR="009E3041" w:rsidRPr="0002332E" w:rsidRDefault="00F11FC7" w:rsidP="00C15DC2">
          <w:pPr>
            <w:pStyle w:val="Koptekst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Directie</w:t>
          </w:r>
          <w:proofErr w:type="spellEnd"/>
        </w:p>
      </w:tc>
      <w:tc>
        <w:tcPr>
          <w:tcW w:w="3096" w:type="dxa"/>
          <w:vMerge/>
        </w:tcPr>
        <w:p w14:paraId="38B65226" w14:textId="77777777" w:rsidR="009E3041" w:rsidRPr="0002332E" w:rsidRDefault="009E3041" w:rsidP="00C15DC2">
          <w:pPr>
            <w:pStyle w:val="Koptekst"/>
            <w:rPr>
              <w:rFonts w:ascii="Arial" w:hAnsi="Arial" w:cs="Arial"/>
            </w:rPr>
          </w:pPr>
        </w:p>
      </w:tc>
    </w:tr>
    <w:tr w:rsidR="009E3041" w:rsidRPr="0002332E" w14:paraId="2C8127CF" w14:textId="77777777" w:rsidTr="007926A9">
      <w:tc>
        <w:tcPr>
          <w:tcW w:w="1951" w:type="dxa"/>
        </w:tcPr>
        <w:p w14:paraId="7FBBDD8D" w14:textId="77777777" w:rsidR="009E3041" w:rsidRPr="0002332E" w:rsidRDefault="009E3041" w:rsidP="00C15DC2">
          <w:pPr>
            <w:pStyle w:val="Koptekst"/>
            <w:rPr>
              <w:rFonts w:ascii="Arial" w:hAnsi="Arial" w:cs="Arial"/>
            </w:rPr>
          </w:pPr>
          <w:proofErr w:type="spellStart"/>
          <w:r w:rsidRPr="0002332E">
            <w:rPr>
              <w:rFonts w:ascii="Arial" w:hAnsi="Arial" w:cs="Arial"/>
            </w:rPr>
            <w:t>Goedkeuring</w:t>
          </w:r>
          <w:proofErr w:type="spellEnd"/>
        </w:p>
      </w:tc>
      <w:tc>
        <w:tcPr>
          <w:tcW w:w="4190" w:type="dxa"/>
        </w:tcPr>
        <w:p w14:paraId="652F6CBF" w14:textId="77777777" w:rsidR="009E3041" w:rsidRPr="0002332E" w:rsidRDefault="009E3041" w:rsidP="00C15DC2">
          <w:pPr>
            <w:pStyle w:val="Koptekst"/>
            <w:rPr>
              <w:rFonts w:ascii="Arial" w:hAnsi="Arial" w:cs="Arial"/>
            </w:rPr>
          </w:pPr>
          <w:proofErr w:type="spellStart"/>
          <w:r w:rsidRPr="0002332E">
            <w:rPr>
              <w:rFonts w:ascii="Arial" w:hAnsi="Arial" w:cs="Arial"/>
            </w:rPr>
            <w:t>Directie</w:t>
          </w:r>
          <w:proofErr w:type="spellEnd"/>
        </w:p>
      </w:tc>
      <w:tc>
        <w:tcPr>
          <w:tcW w:w="3096" w:type="dxa"/>
          <w:vMerge/>
        </w:tcPr>
        <w:p w14:paraId="676BC568" w14:textId="77777777" w:rsidR="009E3041" w:rsidRPr="0002332E" w:rsidRDefault="009E3041" w:rsidP="00C15DC2">
          <w:pPr>
            <w:pStyle w:val="Koptekst"/>
            <w:rPr>
              <w:rFonts w:ascii="Arial" w:hAnsi="Arial" w:cs="Arial"/>
            </w:rPr>
          </w:pPr>
        </w:p>
      </w:tc>
    </w:tr>
  </w:tbl>
  <w:p w14:paraId="71E101CB" w14:textId="77777777" w:rsidR="009E3041" w:rsidRDefault="009E304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71"/>
    <w:rsid w:val="000200C8"/>
    <w:rsid w:val="0002332E"/>
    <w:rsid w:val="00024E54"/>
    <w:rsid w:val="000B2B7B"/>
    <w:rsid w:val="000C3E00"/>
    <w:rsid w:val="000D399D"/>
    <w:rsid w:val="000D7E5A"/>
    <w:rsid w:val="000E69DB"/>
    <w:rsid w:val="0014548E"/>
    <w:rsid w:val="001507E7"/>
    <w:rsid w:val="001763A5"/>
    <w:rsid w:val="00180EB8"/>
    <w:rsid w:val="00196812"/>
    <w:rsid w:val="001B375C"/>
    <w:rsid w:val="001D0794"/>
    <w:rsid w:val="001D12E2"/>
    <w:rsid w:val="00236852"/>
    <w:rsid w:val="00257FCD"/>
    <w:rsid w:val="002A69D8"/>
    <w:rsid w:val="002C310B"/>
    <w:rsid w:val="002E3100"/>
    <w:rsid w:val="002F4A33"/>
    <w:rsid w:val="00315D23"/>
    <w:rsid w:val="003177F4"/>
    <w:rsid w:val="00325A97"/>
    <w:rsid w:val="00334926"/>
    <w:rsid w:val="0034781C"/>
    <w:rsid w:val="00352DAB"/>
    <w:rsid w:val="00363536"/>
    <w:rsid w:val="0038141D"/>
    <w:rsid w:val="003A6208"/>
    <w:rsid w:val="003B5287"/>
    <w:rsid w:val="003E6159"/>
    <w:rsid w:val="004136E7"/>
    <w:rsid w:val="00446D4B"/>
    <w:rsid w:val="00463AC8"/>
    <w:rsid w:val="004705CD"/>
    <w:rsid w:val="00485A5C"/>
    <w:rsid w:val="004A65CA"/>
    <w:rsid w:val="004B139E"/>
    <w:rsid w:val="004D05D1"/>
    <w:rsid w:val="004D6E21"/>
    <w:rsid w:val="004E4B23"/>
    <w:rsid w:val="00505278"/>
    <w:rsid w:val="005057C2"/>
    <w:rsid w:val="00520022"/>
    <w:rsid w:val="00531E7E"/>
    <w:rsid w:val="005872ED"/>
    <w:rsid w:val="0059126D"/>
    <w:rsid w:val="00597940"/>
    <w:rsid w:val="005E7CA9"/>
    <w:rsid w:val="005F7EE1"/>
    <w:rsid w:val="006113F2"/>
    <w:rsid w:val="00640D3F"/>
    <w:rsid w:val="006534FB"/>
    <w:rsid w:val="00671B7E"/>
    <w:rsid w:val="006835E3"/>
    <w:rsid w:val="00691B4A"/>
    <w:rsid w:val="006920BC"/>
    <w:rsid w:val="00696C4C"/>
    <w:rsid w:val="006B2268"/>
    <w:rsid w:val="0074051B"/>
    <w:rsid w:val="00750D67"/>
    <w:rsid w:val="00761A71"/>
    <w:rsid w:val="007926A9"/>
    <w:rsid w:val="00794836"/>
    <w:rsid w:val="007A0222"/>
    <w:rsid w:val="007A42DE"/>
    <w:rsid w:val="008016F9"/>
    <w:rsid w:val="00812B3E"/>
    <w:rsid w:val="00845B6A"/>
    <w:rsid w:val="00872434"/>
    <w:rsid w:val="00875F8B"/>
    <w:rsid w:val="0087777C"/>
    <w:rsid w:val="008B59E7"/>
    <w:rsid w:val="008C7D10"/>
    <w:rsid w:val="00903560"/>
    <w:rsid w:val="0091466E"/>
    <w:rsid w:val="0095497D"/>
    <w:rsid w:val="00954DAA"/>
    <w:rsid w:val="0095521C"/>
    <w:rsid w:val="0099418C"/>
    <w:rsid w:val="009C0126"/>
    <w:rsid w:val="009E192A"/>
    <w:rsid w:val="009E3041"/>
    <w:rsid w:val="00A11197"/>
    <w:rsid w:val="00A44612"/>
    <w:rsid w:val="00A45415"/>
    <w:rsid w:val="00A53C81"/>
    <w:rsid w:val="00A60CD9"/>
    <w:rsid w:val="00A67F2A"/>
    <w:rsid w:val="00A84C88"/>
    <w:rsid w:val="00A94903"/>
    <w:rsid w:val="00A9710E"/>
    <w:rsid w:val="00AB09F3"/>
    <w:rsid w:val="00AB6193"/>
    <w:rsid w:val="00B37E14"/>
    <w:rsid w:val="00B671F0"/>
    <w:rsid w:val="00B711F8"/>
    <w:rsid w:val="00B77D21"/>
    <w:rsid w:val="00BD52EA"/>
    <w:rsid w:val="00BE1EED"/>
    <w:rsid w:val="00C13B59"/>
    <w:rsid w:val="00C6712F"/>
    <w:rsid w:val="00C857AE"/>
    <w:rsid w:val="00C97306"/>
    <w:rsid w:val="00CA1D43"/>
    <w:rsid w:val="00CD4679"/>
    <w:rsid w:val="00CE1141"/>
    <w:rsid w:val="00CE19F6"/>
    <w:rsid w:val="00CF1151"/>
    <w:rsid w:val="00D27D3B"/>
    <w:rsid w:val="00D27E1F"/>
    <w:rsid w:val="00D30668"/>
    <w:rsid w:val="00D74FBC"/>
    <w:rsid w:val="00DC0F62"/>
    <w:rsid w:val="00E214AA"/>
    <w:rsid w:val="00E4162B"/>
    <w:rsid w:val="00E817D7"/>
    <w:rsid w:val="00F00F61"/>
    <w:rsid w:val="00F11FC7"/>
    <w:rsid w:val="00F12151"/>
    <w:rsid w:val="00F12ED1"/>
    <w:rsid w:val="00F533E7"/>
    <w:rsid w:val="00F57533"/>
    <w:rsid w:val="00F61A88"/>
    <w:rsid w:val="00F706E2"/>
    <w:rsid w:val="00F75D10"/>
    <w:rsid w:val="00FD578D"/>
    <w:rsid w:val="00FD66D1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A51933E"/>
  <w15:docId w15:val="{3A87B1C8-95AD-4686-92ED-144F889D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1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761A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1A71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Voettekst">
    <w:name w:val="footer"/>
    <w:basedOn w:val="Standaard"/>
    <w:link w:val="VoettekstChar"/>
    <w:semiHidden/>
    <w:rsid w:val="00761A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761A71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Paginanummer">
    <w:name w:val="page number"/>
    <w:basedOn w:val="Standaardalinea-lettertype"/>
    <w:semiHidden/>
    <w:rsid w:val="00761A71"/>
  </w:style>
  <w:style w:type="table" w:styleId="Tabelraster">
    <w:name w:val="Table Grid"/>
    <w:basedOn w:val="Standaardtabel"/>
    <w:uiPriority w:val="59"/>
    <w:rsid w:val="00761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1A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A71"/>
    <w:rPr>
      <w:rFonts w:ascii="Tahoma" w:eastAsia="Times New Roman" w:hAnsi="Tahoma" w:cs="Tahoma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Eken</dc:creator>
  <cp:lastModifiedBy>J. Sabri</cp:lastModifiedBy>
  <cp:revision>10</cp:revision>
  <cp:lastPrinted>2025-12-18T10:42:00Z</cp:lastPrinted>
  <dcterms:created xsi:type="dcterms:W3CDTF">2022-01-10T10:41:00Z</dcterms:created>
  <dcterms:modified xsi:type="dcterms:W3CDTF">2025-12-18T10:42:00Z</dcterms:modified>
</cp:coreProperties>
</file>